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7289A" w14:textId="77777777" w:rsidR="00E01D09" w:rsidRPr="005D6AF8" w:rsidRDefault="003C16B0">
      <w:pPr>
        <w:rPr>
          <w:b/>
          <w:sz w:val="36"/>
          <w:szCs w:val="36"/>
        </w:rPr>
      </w:pPr>
      <w:bookmarkStart w:id="0" w:name="_GoBack"/>
      <w:bookmarkEnd w:id="0"/>
      <w:r w:rsidRPr="005D6AF8">
        <w:rPr>
          <w:b/>
          <w:sz w:val="36"/>
          <w:szCs w:val="36"/>
        </w:rPr>
        <w:t>CLEARANCE OF THE PEDIATRIC CERVICAL SPINE</w:t>
      </w:r>
    </w:p>
    <w:p w14:paraId="1F67289B" w14:textId="77777777" w:rsidR="00D528EC" w:rsidRPr="005D6AF8" w:rsidRDefault="00DD6580">
      <w:pPr>
        <w:rPr>
          <w:sz w:val="28"/>
          <w:szCs w:val="28"/>
        </w:rPr>
      </w:pPr>
      <w:r>
        <w:rPr>
          <w:sz w:val="28"/>
          <w:szCs w:val="28"/>
        </w:rPr>
        <w:t>POPULATION</w:t>
      </w:r>
      <w:r w:rsidR="004228A9" w:rsidRPr="005D6AF8">
        <w:rPr>
          <w:sz w:val="28"/>
          <w:szCs w:val="28"/>
        </w:rPr>
        <w:t xml:space="preserve">: </w:t>
      </w:r>
      <w:r w:rsidR="005D6AF8" w:rsidRPr="005D6AF8">
        <w:rPr>
          <w:sz w:val="28"/>
          <w:szCs w:val="28"/>
        </w:rPr>
        <w:t xml:space="preserve"> </w:t>
      </w:r>
      <w:r w:rsidR="004228A9" w:rsidRPr="005D6AF8">
        <w:rPr>
          <w:sz w:val="28"/>
          <w:szCs w:val="28"/>
        </w:rPr>
        <w:t xml:space="preserve">Patients </w:t>
      </w:r>
      <w:r w:rsidR="005D6AF8" w:rsidRPr="005D6AF8">
        <w:rPr>
          <w:sz w:val="28"/>
          <w:szCs w:val="28"/>
        </w:rPr>
        <w:t xml:space="preserve">less than 15 years of age who are </w:t>
      </w:r>
      <w:r w:rsidR="003C16B0" w:rsidRPr="005D6AF8">
        <w:rPr>
          <w:sz w:val="28"/>
          <w:szCs w:val="28"/>
        </w:rPr>
        <w:t>bein</w:t>
      </w:r>
      <w:r w:rsidR="00D528EC" w:rsidRPr="005D6AF8">
        <w:rPr>
          <w:sz w:val="28"/>
          <w:szCs w:val="28"/>
        </w:rPr>
        <w:t>g evaluated after blunt trauma.</w:t>
      </w:r>
    </w:p>
    <w:p w14:paraId="1F67289C" w14:textId="77777777" w:rsidR="003C16B0" w:rsidRPr="005D6AF8" w:rsidRDefault="00DD6580">
      <w:pPr>
        <w:rPr>
          <w:sz w:val="28"/>
          <w:szCs w:val="28"/>
        </w:rPr>
      </w:pPr>
      <w:r>
        <w:rPr>
          <w:sz w:val="28"/>
          <w:szCs w:val="28"/>
        </w:rPr>
        <w:t>PURPOSE</w:t>
      </w:r>
      <w:r w:rsidR="005D6AF8" w:rsidRPr="005D6AF8">
        <w:rPr>
          <w:sz w:val="28"/>
          <w:szCs w:val="28"/>
        </w:rPr>
        <w:t>:</w:t>
      </w:r>
      <w:r w:rsidR="003C16B0" w:rsidRPr="005D6AF8">
        <w:rPr>
          <w:sz w:val="28"/>
          <w:szCs w:val="28"/>
        </w:rPr>
        <w:t xml:space="preserve"> </w:t>
      </w:r>
      <w:r w:rsidR="005D6AF8" w:rsidRPr="005D6AF8">
        <w:rPr>
          <w:sz w:val="28"/>
          <w:szCs w:val="28"/>
        </w:rPr>
        <w:t xml:space="preserve"> </w:t>
      </w:r>
      <w:r w:rsidR="003C16B0" w:rsidRPr="005D6AF8">
        <w:rPr>
          <w:sz w:val="28"/>
          <w:szCs w:val="28"/>
        </w:rPr>
        <w:t>To adequately rule out unstable cervical spine injuries while minimizing radiation exposure.</w:t>
      </w:r>
      <w:r w:rsidR="006A0C53" w:rsidRPr="005D6AF8">
        <w:rPr>
          <w:sz w:val="28"/>
          <w:szCs w:val="28"/>
        </w:rPr>
        <w:t xml:space="preserve"> The use of cervical CT</w:t>
      </w:r>
      <w:r w:rsidR="005D6AF8" w:rsidRPr="005D6AF8">
        <w:rPr>
          <w:sz w:val="28"/>
          <w:szCs w:val="28"/>
        </w:rPr>
        <w:t xml:space="preserve"> </w:t>
      </w:r>
      <w:r w:rsidR="006A0C53" w:rsidRPr="005D6AF8">
        <w:rPr>
          <w:sz w:val="28"/>
          <w:szCs w:val="28"/>
        </w:rPr>
        <w:t>scans in children can be minimized without missing clinically significant injuries.</w:t>
      </w:r>
    </w:p>
    <w:p w14:paraId="1F67289D" w14:textId="77777777" w:rsidR="003C16B0" w:rsidRPr="005D6AF8" w:rsidRDefault="003C16B0">
      <w:pPr>
        <w:rPr>
          <w:sz w:val="28"/>
          <w:szCs w:val="28"/>
        </w:rPr>
      </w:pPr>
      <w:r w:rsidRPr="005D6AF8">
        <w:rPr>
          <w:sz w:val="28"/>
          <w:szCs w:val="28"/>
        </w:rPr>
        <w:t>Nexus criteria</w:t>
      </w:r>
      <w:r w:rsidR="005D6AF8" w:rsidRPr="005D6AF8">
        <w:rPr>
          <w:sz w:val="28"/>
          <w:szCs w:val="28"/>
        </w:rPr>
        <w:t>,</w:t>
      </w:r>
      <w:r w:rsidRPr="005D6AF8">
        <w:rPr>
          <w:sz w:val="28"/>
          <w:szCs w:val="28"/>
        </w:rPr>
        <w:t xml:space="preserve"> if met</w:t>
      </w:r>
      <w:r w:rsidR="005D6AF8" w:rsidRPr="005D6AF8">
        <w:rPr>
          <w:sz w:val="28"/>
          <w:szCs w:val="28"/>
        </w:rPr>
        <w:t>,</w:t>
      </w:r>
      <w:r w:rsidRPr="005D6AF8">
        <w:rPr>
          <w:sz w:val="28"/>
          <w:szCs w:val="28"/>
        </w:rPr>
        <w:t xml:space="preserve"> are sufficient to rule out</w:t>
      </w:r>
      <w:r w:rsidR="00D84E95" w:rsidRPr="005D6AF8">
        <w:rPr>
          <w:sz w:val="28"/>
          <w:szCs w:val="28"/>
        </w:rPr>
        <w:t xml:space="preserve"> unstable C</w:t>
      </w:r>
      <w:r w:rsidR="005D6AF8" w:rsidRPr="005D6AF8">
        <w:rPr>
          <w:sz w:val="28"/>
          <w:szCs w:val="28"/>
        </w:rPr>
        <w:t>-</w:t>
      </w:r>
      <w:r w:rsidR="00D84E95" w:rsidRPr="005D6AF8">
        <w:rPr>
          <w:sz w:val="28"/>
          <w:szCs w:val="28"/>
        </w:rPr>
        <w:t>spine injury</w:t>
      </w:r>
      <w:r w:rsidRPr="005D6AF8">
        <w:rPr>
          <w:sz w:val="28"/>
          <w:szCs w:val="28"/>
        </w:rPr>
        <w:t xml:space="preserve"> without further </w:t>
      </w:r>
      <w:r w:rsidR="004228A9" w:rsidRPr="005D6AF8">
        <w:rPr>
          <w:sz w:val="28"/>
          <w:szCs w:val="28"/>
        </w:rPr>
        <w:t>imaging</w:t>
      </w:r>
      <w:r w:rsidRPr="005D6AF8">
        <w:rPr>
          <w:sz w:val="28"/>
          <w:szCs w:val="28"/>
        </w:rPr>
        <w:t xml:space="preserve"> </w:t>
      </w:r>
      <w:r w:rsidR="005D6AF8" w:rsidRPr="005D6AF8">
        <w:rPr>
          <w:sz w:val="28"/>
          <w:szCs w:val="28"/>
        </w:rPr>
        <w:t>in</w:t>
      </w:r>
      <w:r w:rsidRPr="005D6AF8">
        <w:rPr>
          <w:sz w:val="28"/>
          <w:szCs w:val="28"/>
        </w:rPr>
        <w:t xml:space="preserve"> patients 3-</w:t>
      </w:r>
      <w:r w:rsidR="005D6AF8" w:rsidRPr="005D6AF8">
        <w:rPr>
          <w:sz w:val="28"/>
          <w:szCs w:val="28"/>
        </w:rPr>
        <w:t>15 years of age</w:t>
      </w:r>
    </w:p>
    <w:p w14:paraId="1F67289E" w14:textId="77777777" w:rsidR="003C16B0" w:rsidRPr="005D6AF8" w:rsidRDefault="003C16B0" w:rsidP="005D6AF8">
      <w:pPr>
        <w:rPr>
          <w:u w:val="single"/>
        </w:rPr>
      </w:pPr>
      <w:r w:rsidRPr="005D6AF8">
        <w:rPr>
          <w:u w:val="single"/>
        </w:rPr>
        <w:t>NEXUS</w:t>
      </w:r>
      <w:r w:rsidR="004E321A" w:rsidRPr="005D6AF8">
        <w:rPr>
          <w:u w:val="single"/>
        </w:rPr>
        <w:t xml:space="preserve"> CRITERIA</w:t>
      </w:r>
      <w:r w:rsidR="005D6AF8" w:rsidRPr="005D6AF8">
        <w:rPr>
          <w:u w:val="single"/>
        </w:rPr>
        <w:t>:</w:t>
      </w:r>
    </w:p>
    <w:p w14:paraId="1F67289F" w14:textId="77777777" w:rsidR="003C16B0" w:rsidRDefault="003C16B0" w:rsidP="005D6AF8">
      <w:pPr>
        <w:pStyle w:val="ListParagraph"/>
        <w:numPr>
          <w:ilvl w:val="0"/>
          <w:numId w:val="5"/>
        </w:numPr>
      </w:pPr>
      <w:r>
        <w:t>Absence of midline tenderness</w:t>
      </w:r>
    </w:p>
    <w:p w14:paraId="1F6728A0" w14:textId="77777777" w:rsidR="003C16B0" w:rsidRDefault="003C16B0" w:rsidP="005D6AF8">
      <w:pPr>
        <w:pStyle w:val="ListParagraph"/>
        <w:numPr>
          <w:ilvl w:val="0"/>
          <w:numId w:val="5"/>
        </w:numPr>
      </w:pPr>
      <w:r>
        <w:t>No decreased level of consciousness</w:t>
      </w:r>
    </w:p>
    <w:p w14:paraId="1F6728A1" w14:textId="77777777" w:rsidR="004E321A" w:rsidRDefault="004E321A" w:rsidP="005D6AF8">
      <w:pPr>
        <w:pStyle w:val="ListParagraph"/>
        <w:numPr>
          <w:ilvl w:val="0"/>
          <w:numId w:val="5"/>
        </w:numPr>
      </w:pPr>
      <w:r>
        <w:t>No Intoxication</w:t>
      </w:r>
    </w:p>
    <w:p w14:paraId="1F6728A2" w14:textId="77777777" w:rsidR="004E321A" w:rsidRDefault="004E321A" w:rsidP="005D6AF8">
      <w:pPr>
        <w:pStyle w:val="ListParagraph"/>
        <w:numPr>
          <w:ilvl w:val="0"/>
          <w:numId w:val="5"/>
        </w:numPr>
      </w:pPr>
      <w:r>
        <w:t>No distracting injury</w:t>
      </w:r>
    </w:p>
    <w:p w14:paraId="1F6728A3" w14:textId="77777777" w:rsidR="004E321A" w:rsidRDefault="004E321A" w:rsidP="005D6AF8">
      <w:pPr>
        <w:pStyle w:val="ListParagraph"/>
        <w:numPr>
          <w:ilvl w:val="0"/>
          <w:numId w:val="5"/>
        </w:numPr>
      </w:pPr>
      <w:r>
        <w:t>No neurologic deficit</w:t>
      </w:r>
    </w:p>
    <w:p w14:paraId="1F6728A4" w14:textId="77777777" w:rsidR="004E321A" w:rsidRDefault="004E321A" w:rsidP="005D6AF8">
      <w:pPr>
        <w:pStyle w:val="ListParagraph"/>
        <w:numPr>
          <w:ilvl w:val="0"/>
          <w:numId w:val="5"/>
        </w:numPr>
      </w:pPr>
      <w:r>
        <w:t>Painless range of motion</w:t>
      </w:r>
    </w:p>
    <w:p w14:paraId="1F6728A5" w14:textId="77777777" w:rsidR="00D528EC" w:rsidRPr="005D6AF8" w:rsidRDefault="00DD6580" w:rsidP="004E321A">
      <w:pPr>
        <w:rPr>
          <w:sz w:val="28"/>
          <w:szCs w:val="28"/>
        </w:rPr>
      </w:pPr>
      <w:r>
        <w:rPr>
          <w:sz w:val="28"/>
          <w:szCs w:val="28"/>
        </w:rPr>
        <w:t>In p</w:t>
      </w:r>
      <w:r w:rsidR="00D84E95" w:rsidRPr="005D6AF8">
        <w:rPr>
          <w:sz w:val="28"/>
          <w:szCs w:val="28"/>
        </w:rPr>
        <w:t xml:space="preserve">atients </w:t>
      </w:r>
      <w:r>
        <w:rPr>
          <w:sz w:val="28"/>
          <w:szCs w:val="28"/>
        </w:rPr>
        <w:t>less than 3 years of age, i</w:t>
      </w:r>
      <w:r w:rsidR="00D84E95" w:rsidRPr="005D6AF8">
        <w:rPr>
          <w:sz w:val="28"/>
          <w:szCs w:val="28"/>
        </w:rPr>
        <w:t xml:space="preserve">nterpretation of NEXUS </w:t>
      </w:r>
      <w:r w:rsidR="0062746E">
        <w:rPr>
          <w:sz w:val="28"/>
          <w:szCs w:val="28"/>
        </w:rPr>
        <w:t>C</w:t>
      </w:r>
      <w:r w:rsidR="00D84E95" w:rsidRPr="005D6AF8">
        <w:rPr>
          <w:sz w:val="28"/>
          <w:szCs w:val="28"/>
        </w:rPr>
        <w:t xml:space="preserve">riteria may be difficult. </w:t>
      </w:r>
      <w:r w:rsidR="005D6AF8" w:rsidRPr="005D6AF8">
        <w:rPr>
          <w:sz w:val="28"/>
          <w:szCs w:val="28"/>
        </w:rPr>
        <w:t xml:space="preserve"> </w:t>
      </w:r>
      <w:r w:rsidR="00D84E95" w:rsidRPr="005D6AF8">
        <w:rPr>
          <w:sz w:val="28"/>
          <w:szCs w:val="28"/>
        </w:rPr>
        <w:t>T</w:t>
      </w:r>
      <w:r w:rsidR="005D6AF8" w:rsidRPr="005D6AF8">
        <w:rPr>
          <w:sz w:val="28"/>
          <w:szCs w:val="28"/>
        </w:rPr>
        <w:t xml:space="preserve">he use of the AAST </w:t>
      </w:r>
      <w:r w:rsidR="003C16B0" w:rsidRPr="005D6AF8">
        <w:rPr>
          <w:sz w:val="28"/>
          <w:szCs w:val="28"/>
        </w:rPr>
        <w:t>scoring system</w:t>
      </w:r>
      <w:r w:rsidR="00D84E95" w:rsidRPr="005D6AF8">
        <w:rPr>
          <w:sz w:val="28"/>
          <w:szCs w:val="28"/>
        </w:rPr>
        <w:t xml:space="preserve"> along with the NEXUS </w:t>
      </w:r>
      <w:r w:rsidR="0062746E">
        <w:rPr>
          <w:sz w:val="28"/>
          <w:szCs w:val="28"/>
        </w:rPr>
        <w:t>C</w:t>
      </w:r>
      <w:r w:rsidR="00D84E95" w:rsidRPr="005D6AF8">
        <w:rPr>
          <w:sz w:val="28"/>
          <w:szCs w:val="28"/>
        </w:rPr>
        <w:t xml:space="preserve">riteria </w:t>
      </w:r>
      <w:r w:rsidR="003C16B0" w:rsidRPr="005D6AF8">
        <w:rPr>
          <w:sz w:val="28"/>
          <w:szCs w:val="28"/>
        </w:rPr>
        <w:t>may help identify additional infants who do not need imaging of the C</w:t>
      </w:r>
      <w:r w:rsidR="005D6AF8" w:rsidRPr="005D6AF8">
        <w:rPr>
          <w:sz w:val="28"/>
          <w:szCs w:val="28"/>
        </w:rPr>
        <w:t>-</w:t>
      </w:r>
      <w:r w:rsidR="003C16B0" w:rsidRPr="005D6AF8">
        <w:rPr>
          <w:sz w:val="28"/>
          <w:szCs w:val="28"/>
        </w:rPr>
        <w:t>spine</w:t>
      </w:r>
      <w:r w:rsidR="004E321A" w:rsidRPr="005D6AF8">
        <w:rPr>
          <w:sz w:val="28"/>
          <w:szCs w:val="28"/>
        </w:rPr>
        <w:t>.</w:t>
      </w:r>
    </w:p>
    <w:p w14:paraId="1F6728A6" w14:textId="77777777" w:rsidR="004E321A" w:rsidRPr="005D6AF8" w:rsidRDefault="004E321A" w:rsidP="005D6AF8">
      <w:pPr>
        <w:rPr>
          <w:sz w:val="36"/>
          <w:szCs w:val="36"/>
          <w:u w:val="single"/>
        </w:rPr>
      </w:pPr>
      <w:r w:rsidRPr="005D6AF8">
        <w:rPr>
          <w:u w:val="single"/>
        </w:rPr>
        <w:t>AAST Risk  Score</w:t>
      </w:r>
      <w:r w:rsidR="005D6AF8">
        <w:rPr>
          <w:u w:val="single"/>
        </w:rPr>
        <w:t>:</w:t>
      </w:r>
    </w:p>
    <w:p w14:paraId="1F6728A7" w14:textId="77777777" w:rsidR="0039236C" w:rsidRPr="004E321A" w:rsidRDefault="001459D4" w:rsidP="00E33E98">
      <w:pPr>
        <w:numPr>
          <w:ilvl w:val="0"/>
          <w:numId w:val="1"/>
        </w:numPr>
        <w:spacing w:after="0"/>
      </w:pPr>
      <w:r w:rsidRPr="004E321A">
        <w:t xml:space="preserve"> GCS          </w:t>
      </w:r>
      <w:r w:rsidR="004E321A">
        <w:t xml:space="preserve"> </w:t>
      </w:r>
      <w:r w:rsidRPr="004E321A">
        <w:t xml:space="preserve"> &lt; 14        </w:t>
      </w:r>
      <w:r w:rsidR="004E321A">
        <w:t xml:space="preserve"> </w:t>
      </w:r>
      <w:r w:rsidRPr="004E321A">
        <w:t xml:space="preserve"> 3pts</w:t>
      </w:r>
    </w:p>
    <w:p w14:paraId="1F6728A8" w14:textId="77777777" w:rsidR="0039236C" w:rsidRPr="004E321A" w:rsidRDefault="001459D4" w:rsidP="00E33E98">
      <w:pPr>
        <w:numPr>
          <w:ilvl w:val="0"/>
          <w:numId w:val="1"/>
        </w:numPr>
        <w:spacing w:after="0"/>
      </w:pPr>
      <w:r w:rsidRPr="004E321A">
        <w:t xml:space="preserve"> GCS (eye)   =  1          2pts</w:t>
      </w:r>
    </w:p>
    <w:p w14:paraId="1F6728A9" w14:textId="77777777" w:rsidR="0039236C" w:rsidRPr="004E321A" w:rsidRDefault="001459D4" w:rsidP="00E33E98">
      <w:pPr>
        <w:numPr>
          <w:ilvl w:val="0"/>
          <w:numId w:val="1"/>
        </w:numPr>
        <w:spacing w:after="0"/>
      </w:pPr>
      <w:r w:rsidRPr="004E321A">
        <w:t xml:space="preserve"> MVC                          </w:t>
      </w:r>
      <w:r w:rsidR="004E321A">
        <w:t xml:space="preserve"> </w:t>
      </w:r>
      <w:r w:rsidRPr="004E321A">
        <w:t xml:space="preserve"> 2 pts</w:t>
      </w:r>
    </w:p>
    <w:p w14:paraId="1F6728AA" w14:textId="77777777" w:rsidR="006A0C53" w:rsidRPr="004E321A" w:rsidRDefault="00163EDE" w:rsidP="00E33E98">
      <w:pPr>
        <w:numPr>
          <w:ilvl w:val="0"/>
          <w:numId w:val="1"/>
        </w:numPr>
      </w:pPr>
      <w:r>
        <w:t xml:space="preserve"> A</w:t>
      </w:r>
      <w:r w:rsidR="004E321A">
        <w:t xml:space="preserve">ge  </w:t>
      </w:r>
      <w:r w:rsidR="005D6AF8" w:rsidRPr="005D6AF8">
        <w:rPr>
          <w:u w:val="single"/>
        </w:rPr>
        <w:t>&gt;</w:t>
      </w:r>
      <w:r w:rsidR="004E321A">
        <w:t xml:space="preserve">   </w:t>
      </w:r>
      <w:r w:rsidR="005D6AF8">
        <w:t xml:space="preserve">2 years   </w:t>
      </w:r>
      <w:r w:rsidR="004E321A">
        <w:t xml:space="preserve">      </w:t>
      </w:r>
      <w:r w:rsidR="006A0C53" w:rsidRPr="004E321A">
        <w:t xml:space="preserve"> 1 pt</w:t>
      </w:r>
    </w:p>
    <w:p w14:paraId="1F6728AB" w14:textId="77777777" w:rsidR="005D6AF8" w:rsidRPr="005D6AF8" w:rsidRDefault="00DD6580" w:rsidP="006E57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62746E">
        <w:rPr>
          <w:sz w:val="28"/>
          <w:szCs w:val="28"/>
        </w:rPr>
        <w:t xml:space="preserve">risk </w:t>
      </w:r>
      <w:r>
        <w:rPr>
          <w:sz w:val="28"/>
          <w:szCs w:val="28"/>
        </w:rPr>
        <w:t>score</w:t>
      </w:r>
      <w:r w:rsidR="006A0C53" w:rsidRPr="005D6AF8">
        <w:rPr>
          <w:sz w:val="28"/>
          <w:szCs w:val="28"/>
        </w:rPr>
        <w:t xml:space="preserve"> &lt;2</w:t>
      </w:r>
      <w:r>
        <w:rPr>
          <w:sz w:val="28"/>
          <w:szCs w:val="28"/>
        </w:rPr>
        <w:t xml:space="preserve"> provides a ne</w:t>
      </w:r>
      <w:r w:rsidR="005D6AF8" w:rsidRPr="005D6AF8">
        <w:rPr>
          <w:sz w:val="28"/>
          <w:szCs w:val="28"/>
        </w:rPr>
        <w:t>ga</w:t>
      </w:r>
      <w:r w:rsidR="006A0C53" w:rsidRPr="005D6AF8">
        <w:rPr>
          <w:sz w:val="28"/>
          <w:szCs w:val="28"/>
        </w:rPr>
        <w:t>tive predictive value of 99.93%</w:t>
      </w:r>
      <w:r w:rsidR="005D6AF8" w:rsidRPr="005D6AF8">
        <w:rPr>
          <w:sz w:val="28"/>
          <w:szCs w:val="28"/>
        </w:rPr>
        <w:t xml:space="preserve">.  </w:t>
      </w:r>
    </w:p>
    <w:p w14:paraId="1F6728AC" w14:textId="77777777" w:rsidR="00BA36B7" w:rsidRDefault="009F002C" w:rsidP="009F00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Children less than 3 years of age who have a GSC of &lt;14 or have been involved in an MVC need to be imaged.  </w:t>
      </w:r>
    </w:p>
    <w:p w14:paraId="1F6728AD" w14:textId="77777777" w:rsidR="009F002C" w:rsidRDefault="009F002C" w:rsidP="009F00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Children less than 3 years of age who appear to meet the NEXUS criteria  with normal GCS and benign mechanism do not need to be imaged.</w:t>
      </w:r>
    </w:p>
    <w:p w14:paraId="1F6728AE" w14:textId="77777777" w:rsidR="00BA36B7" w:rsidRDefault="00BA36B7" w:rsidP="00D84E95">
      <w:pPr>
        <w:rPr>
          <w:sz w:val="28"/>
          <w:szCs w:val="28"/>
        </w:rPr>
      </w:pPr>
    </w:p>
    <w:p w14:paraId="1F6728AF" w14:textId="77777777" w:rsidR="00D84E95" w:rsidRPr="005D6AF8" w:rsidRDefault="00D84E95" w:rsidP="00D84E95">
      <w:pPr>
        <w:rPr>
          <w:sz w:val="28"/>
          <w:szCs w:val="28"/>
        </w:rPr>
      </w:pPr>
      <w:r w:rsidRPr="005D6AF8">
        <w:rPr>
          <w:sz w:val="28"/>
          <w:szCs w:val="28"/>
        </w:rPr>
        <w:lastRenderedPageBreak/>
        <w:t>SPECIAL CONSIDERATIONS</w:t>
      </w:r>
      <w:r w:rsidR="00DD6580">
        <w:rPr>
          <w:sz w:val="28"/>
          <w:szCs w:val="28"/>
        </w:rPr>
        <w:t>:</w:t>
      </w:r>
    </w:p>
    <w:p w14:paraId="1F6728B0" w14:textId="77777777" w:rsidR="00D84E95" w:rsidRPr="005D6AF8" w:rsidRDefault="00D84E95" w:rsidP="006E57CC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5D6AF8">
        <w:rPr>
          <w:sz w:val="28"/>
          <w:szCs w:val="28"/>
        </w:rPr>
        <w:t>Patient getting head CT alone , include C1-</w:t>
      </w:r>
      <w:r w:rsidR="00DD6580">
        <w:rPr>
          <w:sz w:val="28"/>
          <w:szCs w:val="28"/>
        </w:rPr>
        <w:t>C</w:t>
      </w:r>
      <w:r w:rsidRPr="005D6AF8">
        <w:rPr>
          <w:sz w:val="28"/>
          <w:szCs w:val="28"/>
        </w:rPr>
        <w:t>3</w:t>
      </w:r>
    </w:p>
    <w:p w14:paraId="1F6728B1" w14:textId="77777777" w:rsidR="00D84E95" w:rsidRPr="005D6AF8" w:rsidRDefault="00D84E95" w:rsidP="00D84E95">
      <w:pPr>
        <w:numPr>
          <w:ilvl w:val="0"/>
          <w:numId w:val="2"/>
        </w:numPr>
        <w:rPr>
          <w:sz w:val="28"/>
          <w:szCs w:val="28"/>
        </w:rPr>
      </w:pPr>
      <w:r w:rsidRPr="005D6AF8">
        <w:rPr>
          <w:sz w:val="28"/>
          <w:szCs w:val="28"/>
        </w:rPr>
        <w:t>Patient getting torso CT</w:t>
      </w:r>
      <w:r w:rsidR="00DD6580">
        <w:rPr>
          <w:sz w:val="28"/>
          <w:szCs w:val="28"/>
        </w:rPr>
        <w:t>, p</w:t>
      </w:r>
      <w:r w:rsidRPr="005D6AF8">
        <w:rPr>
          <w:sz w:val="28"/>
          <w:szCs w:val="28"/>
        </w:rPr>
        <w:t xml:space="preserve">lain films </w:t>
      </w:r>
      <w:r w:rsidR="00DD6580">
        <w:rPr>
          <w:sz w:val="28"/>
          <w:szCs w:val="28"/>
        </w:rPr>
        <w:t xml:space="preserve">as indicated by </w:t>
      </w:r>
      <w:r w:rsidR="0062746E">
        <w:rPr>
          <w:sz w:val="28"/>
          <w:szCs w:val="28"/>
        </w:rPr>
        <w:t>N</w:t>
      </w:r>
      <w:r w:rsidR="00DD6580">
        <w:rPr>
          <w:sz w:val="28"/>
          <w:szCs w:val="28"/>
        </w:rPr>
        <w:t xml:space="preserve">exus </w:t>
      </w:r>
      <w:r w:rsidR="0062746E">
        <w:rPr>
          <w:sz w:val="28"/>
          <w:szCs w:val="28"/>
        </w:rPr>
        <w:t>C</w:t>
      </w:r>
      <w:r w:rsidR="00DD6580">
        <w:rPr>
          <w:sz w:val="28"/>
          <w:szCs w:val="28"/>
        </w:rPr>
        <w:t>riteria</w:t>
      </w:r>
    </w:p>
    <w:p w14:paraId="1F6728B2" w14:textId="77777777" w:rsidR="006E57CC" w:rsidRDefault="006E57CC" w:rsidP="00DD6580">
      <w:pPr>
        <w:rPr>
          <w:bCs/>
          <w:sz w:val="28"/>
          <w:szCs w:val="28"/>
        </w:rPr>
      </w:pPr>
    </w:p>
    <w:p w14:paraId="1F6728B3" w14:textId="77777777" w:rsidR="00D84E95" w:rsidRPr="00DD6580" w:rsidRDefault="00DD6580" w:rsidP="00DD6580">
      <w:pPr>
        <w:rPr>
          <w:sz w:val="28"/>
          <w:szCs w:val="28"/>
        </w:rPr>
      </w:pPr>
      <w:r>
        <w:rPr>
          <w:bCs/>
          <w:sz w:val="28"/>
          <w:szCs w:val="28"/>
        </w:rPr>
        <w:t>UNCONSCIOUS AND OBTUNDED CHILDREN</w:t>
      </w:r>
      <w:r w:rsidRPr="00DD6580">
        <w:rPr>
          <w:bCs/>
          <w:sz w:val="28"/>
          <w:szCs w:val="28"/>
        </w:rPr>
        <w:t>:</w:t>
      </w:r>
    </w:p>
    <w:p w14:paraId="1F6728B4" w14:textId="77777777" w:rsidR="00D84E95" w:rsidRPr="00DD6580" w:rsidRDefault="00D84E95" w:rsidP="006E57CC">
      <w:pPr>
        <w:numPr>
          <w:ilvl w:val="0"/>
          <w:numId w:val="3"/>
        </w:numPr>
        <w:spacing w:after="0"/>
        <w:rPr>
          <w:sz w:val="28"/>
          <w:szCs w:val="28"/>
        </w:rPr>
      </w:pPr>
      <w:r w:rsidRPr="00DD6580">
        <w:rPr>
          <w:sz w:val="28"/>
          <w:szCs w:val="28"/>
        </w:rPr>
        <w:t>CT scan of head and c</w:t>
      </w:r>
      <w:r w:rsidR="00DD6580">
        <w:rPr>
          <w:sz w:val="28"/>
          <w:szCs w:val="28"/>
        </w:rPr>
        <w:t>-</w:t>
      </w:r>
      <w:r w:rsidRPr="00DD6580">
        <w:rPr>
          <w:sz w:val="28"/>
          <w:szCs w:val="28"/>
        </w:rPr>
        <w:t xml:space="preserve">spine as soon as patient </w:t>
      </w:r>
      <w:r w:rsidR="00DD6580">
        <w:rPr>
          <w:sz w:val="28"/>
          <w:szCs w:val="28"/>
        </w:rPr>
        <w:t>is stable</w:t>
      </w:r>
    </w:p>
    <w:p w14:paraId="1F6728B5" w14:textId="77777777" w:rsidR="00D84E95" w:rsidRPr="00DD6580" w:rsidRDefault="00D84E95" w:rsidP="006E57CC">
      <w:pPr>
        <w:numPr>
          <w:ilvl w:val="0"/>
          <w:numId w:val="3"/>
        </w:numPr>
        <w:spacing w:after="0"/>
        <w:rPr>
          <w:sz w:val="28"/>
          <w:szCs w:val="28"/>
        </w:rPr>
      </w:pPr>
      <w:r w:rsidRPr="00DD6580">
        <w:rPr>
          <w:sz w:val="28"/>
          <w:szCs w:val="28"/>
        </w:rPr>
        <w:t>MRI</w:t>
      </w:r>
      <w:r w:rsidR="00DD6580">
        <w:rPr>
          <w:sz w:val="28"/>
          <w:szCs w:val="28"/>
        </w:rPr>
        <w:t>,</w:t>
      </w:r>
      <w:r w:rsidRPr="00DD6580">
        <w:rPr>
          <w:sz w:val="28"/>
          <w:szCs w:val="28"/>
        </w:rPr>
        <w:t xml:space="preserve"> if unconsciousness</w:t>
      </w:r>
      <w:r w:rsidR="00DD6580">
        <w:rPr>
          <w:sz w:val="28"/>
          <w:szCs w:val="28"/>
        </w:rPr>
        <w:t xml:space="preserve"> </w:t>
      </w:r>
      <w:r w:rsidRPr="00DD6580">
        <w:rPr>
          <w:sz w:val="28"/>
          <w:szCs w:val="28"/>
        </w:rPr>
        <w:t xml:space="preserve">likely to last </w:t>
      </w:r>
      <w:r w:rsidR="00DD6580">
        <w:rPr>
          <w:sz w:val="28"/>
          <w:szCs w:val="28"/>
        </w:rPr>
        <w:t>greater</w:t>
      </w:r>
      <w:r w:rsidRPr="00DD6580">
        <w:rPr>
          <w:sz w:val="28"/>
          <w:szCs w:val="28"/>
        </w:rPr>
        <w:t xml:space="preserve"> than 72 </w:t>
      </w:r>
      <w:r w:rsidR="00DD6580">
        <w:rPr>
          <w:sz w:val="28"/>
          <w:szCs w:val="28"/>
        </w:rPr>
        <w:t>hours</w:t>
      </w:r>
    </w:p>
    <w:p w14:paraId="1F6728B6" w14:textId="77777777" w:rsidR="00DD6580" w:rsidRPr="006E57CC" w:rsidRDefault="00D84E95" w:rsidP="00D84E95">
      <w:pPr>
        <w:numPr>
          <w:ilvl w:val="0"/>
          <w:numId w:val="3"/>
        </w:numPr>
      </w:pPr>
      <w:r w:rsidRPr="00DD6580">
        <w:rPr>
          <w:sz w:val="28"/>
          <w:szCs w:val="28"/>
        </w:rPr>
        <w:t>No patients with normal MRI or stable injury on MRI developed unstable injury</w:t>
      </w:r>
    </w:p>
    <w:p w14:paraId="1F6728B7" w14:textId="77777777" w:rsidR="006A0C53" w:rsidRPr="004E321A" w:rsidRDefault="005C7AD7" w:rsidP="00E33E98">
      <w:pPr>
        <w:ind w:left="-450"/>
      </w:pPr>
      <w:r>
        <w:rPr>
          <w:noProof/>
        </w:rPr>
        <w:drawing>
          <wp:inline distT="0" distB="0" distL="0" distR="0" wp14:anchorId="1F6728B8" wp14:editId="1F6728B9">
            <wp:extent cx="7061200" cy="529590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" t="6302" r="3729" b="9287"/>
                    <a:stretch/>
                  </pic:blipFill>
                  <pic:spPr bwMode="auto">
                    <a:xfrm>
                      <a:off x="0" y="0"/>
                      <a:ext cx="7067009" cy="5300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3E98">
        <w:t xml:space="preserve">         </w:t>
      </w:r>
      <w:r w:rsidR="00D528EC">
        <w:t xml:space="preserve">                                                                        </w:t>
      </w:r>
    </w:p>
    <w:sectPr w:rsidR="006A0C53" w:rsidRPr="004E321A" w:rsidSect="003E5CEF">
      <w:footerReference w:type="default" r:id="rId12"/>
      <w:footerReference w:type="first" r:id="rId13"/>
      <w:pgSz w:w="12240" w:h="15840"/>
      <w:pgMar w:top="1440" w:right="1440" w:bottom="144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728BC" w14:textId="77777777" w:rsidR="000F2C4E" w:rsidRDefault="000F2C4E" w:rsidP="004228A9">
      <w:pPr>
        <w:spacing w:after="0" w:line="240" w:lineRule="auto"/>
      </w:pPr>
      <w:r>
        <w:separator/>
      </w:r>
    </w:p>
  </w:endnote>
  <w:endnote w:type="continuationSeparator" w:id="0">
    <w:p w14:paraId="1F6728BD" w14:textId="77777777" w:rsidR="000F2C4E" w:rsidRDefault="000F2C4E" w:rsidP="0042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728BE" w14:textId="77777777" w:rsidR="00F25DEE" w:rsidRDefault="00F25DEE">
    <w:pPr>
      <w:pStyle w:val="Footer"/>
    </w:pPr>
  </w:p>
  <w:p w14:paraId="1F6728BF" w14:textId="77777777" w:rsidR="005C7AD7" w:rsidRPr="00F25DEE" w:rsidRDefault="005C7AD7">
    <w:pPr>
      <w:pStyle w:val="Footer"/>
      <w:rPr>
        <w:sz w:val="18"/>
        <w:szCs w:val="18"/>
      </w:rPr>
    </w:pPr>
    <w:r w:rsidRPr="00F25DEE">
      <w:rPr>
        <w:sz w:val="18"/>
        <w:szCs w:val="18"/>
      </w:rPr>
      <w:t>Copyright© 2015 Journal of Trauma and Acute Surgery. Published by Lippincott Williams &amp; Wilkins.</w:t>
    </w:r>
  </w:p>
  <w:p w14:paraId="1F6728C0" w14:textId="77777777" w:rsidR="005C7AD7" w:rsidRPr="00CE51FC" w:rsidRDefault="00CE51FC" w:rsidP="00CE51FC">
    <w:pPr>
      <w:pStyle w:val="Footer"/>
      <w:jc w:val="right"/>
      <w:rPr>
        <w:sz w:val="16"/>
        <w:szCs w:val="16"/>
      </w:rPr>
    </w:pPr>
    <w:r w:rsidRPr="00CE51FC">
      <w:rPr>
        <w:sz w:val="16"/>
        <w:szCs w:val="16"/>
      </w:rPr>
      <w:t>Approved 10/30/15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728C1" w14:textId="77777777" w:rsidR="00CE51FC" w:rsidRPr="00CE51FC" w:rsidRDefault="00CE51FC" w:rsidP="00CE51F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Approved: 10/30/15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728BA" w14:textId="77777777" w:rsidR="000F2C4E" w:rsidRDefault="000F2C4E" w:rsidP="004228A9">
      <w:pPr>
        <w:spacing w:after="0" w:line="240" w:lineRule="auto"/>
      </w:pPr>
      <w:r>
        <w:separator/>
      </w:r>
    </w:p>
  </w:footnote>
  <w:footnote w:type="continuationSeparator" w:id="0">
    <w:p w14:paraId="1F6728BB" w14:textId="77777777" w:rsidR="000F2C4E" w:rsidRDefault="000F2C4E" w:rsidP="00422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429"/>
    <w:multiLevelType w:val="hybridMultilevel"/>
    <w:tmpl w:val="059EFA96"/>
    <w:lvl w:ilvl="0" w:tplc="DD604E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AC354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DE242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3FE3A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6EB37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7450A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A21C2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C232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45AC5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98A0571"/>
    <w:multiLevelType w:val="hybridMultilevel"/>
    <w:tmpl w:val="D604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F025F"/>
    <w:multiLevelType w:val="hybridMultilevel"/>
    <w:tmpl w:val="5220FC22"/>
    <w:lvl w:ilvl="0" w:tplc="3F087FA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200DA7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BF4ADF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37CE3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1093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16EFD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1629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B8A18A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AEB9F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C7F3826"/>
    <w:multiLevelType w:val="hybridMultilevel"/>
    <w:tmpl w:val="8EC497CA"/>
    <w:lvl w:ilvl="0" w:tplc="D62A825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91012"/>
    <w:multiLevelType w:val="hybridMultilevel"/>
    <w:tmpl w:val="6622B172"/>
    <w:lvl w:ilvl="0" w:tplc="D62A825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A8F5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3C56C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D0476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6884C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50583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D64E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A2520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5EC20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B0"/>
    <w:rsid w:val="000F2C4E"/>
    <w:rsid w:val="001459D4"/>
    <w:rsid w:val="00163EDE"/>
    <w:rsid w:val="001A14D1"/>
    <w:rsid w:val="001A31E2"/>
    <w:rsid w:val="0039236C"/>
    <w:rsid w:val="003C16B0"/>
    <w:rsid w:val="003E5CEF"/>
    <w:rsid w:val="004228A9"/>
    <w:rsid w:val="004C2459"/>
    <w:rsid w:val="004E321A"/>
    <w:rsid w:val="0051739B"/>
    <w:rsid w:val="005C7AD7"/>
    <w:rsid w:val="005D6AF8"/>
    <w:rsid w:val="005E4346"/>
    <w:rsid w:val="0062746E"/>
    <w:rsid w:val="006A0C53"/>
    <w:rsid w:val="006E16DA"/>
    <w:rsid w:val="006E57CC"/>
    <w:rsid w:val="00762769"/>
    <w:rsid w:val="009F002C"/>
    <w:rsid w:val="00B76D47"/>
    <w:rsid w:val="00BA36B7"/>
    <w:rsid w:val="00CE51FC"/>
    <w:rsid w:val="00D528EC"/>
    <w:rsid w:val="00D84E95"/>
    <w:rsid w:val="00DA798B"/>
    <w:rsid w:val="00DD6580"/>
    <w:rsid w:val="00E01D09"/>
    <w:rsid w:val="00E33E98"/>
    <w:rsid w:val="00F2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67289A"/>
  <w15:docId w15:val="{677495E3-ACB5-44EC-B488-EC4037FE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8A9"/>
  </w:style>
  <w:style w:type="paragraph" w:styleId="Footer">
    <w:name w:val="footer"/>
    <w:basedOn w:val="Normal"/>
    <w:link w:val="FooterChar"/>
    <w:uiPriority w:val="99"/>
    <w:unhideWhenUsed/>
    <w:rsid w:val="00422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8A9"/>
  </w:style>
  <w:style w:type="paragraph" w:styleId="ListParagraph">
    <w:name w:val="List Paragraph"/>
    <w:basedOn w:val="Normal"/>
    <w:uiPriority w:val="34"/>
    <w:qFormat/>
    <w:rsid w:val="005D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10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67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9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31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0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1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88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7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6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1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7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2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9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E82759A61EF4B93D500ACBD9D2B94" ma:contentTypeVersion="0" ma:contentTypeDescription="Create a new document." ma:contentTypeScope="" ma:versionID="916d6d6ad3a8448a3e0dcbf7042434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D67089-7A97-4CD5-BB49-06CC004430C3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F25E8B-538F-4514-8670-C96EC8D37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26433D-208F-4180-8020-E62C04C661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ANTHC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Brownson, Elisha G</cp:lastModifiedBy>
  <cp:revision>2</cp:revision>
  <cp:lastPrinted>2015-10-17T18:43:00Z</cp:lastPrinted>
  <dcterms:created xsi:type="dcterms:W3CDTF">2021-04-05T05:34:00Z</dcterms:created>
  <dcterms:modified xsi:type="dcterms:W3CDTF">2021-04-05T05:34:00Z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0x010100007E82759A61EF4B93D500ACBD9D2B94</vt:lpwstr>
  </property>
</Properties>
</file>